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22"/>
        <w:tblW w:w="5147" w:type="pct"/>
        <w:tblInd w:w="-284" w:type="dxa"/>
        <w:tblLook w:val="04A0" w:firstRow="1" w:lastRow="0" w:firstColumn="1" w:lastColumn="0" w:noHBand="0" w:noVBand="1"/>
      </w:tblPr>
      <w:tblGrid>
        <w:gridCol w:w="3403"/>
        <w:gridCol w:w="6519"/>
      </w:tblGrid>
      <w:tr>
        <w:tblPrEx/>
        <w:trPr>
          <w:cantSplit/>
        </w:trPr>
        <w:tc>
          <w:tcPr>
            <w:gridSpan w:val="2"/>
            <w:shd w:val="clear" w:color="auto" w:fill="auto"/>
            <w:tcW w:w="9922" w:type="dxa"/>
            <w:vAlign w:val="bottom"/>
            <w:textDirection w:val="lrTb"/>
            <w:noWrap w:val="false"/>
          </w:tcPr>
          <w:p>
            <w:r>
              <w:rPr>
                <w:b/>
                <w:sz w:val="30"/>
                <w:szCs w:val="30"/>
              </w:rPr>
              <w:t xml:space="preserve">ООО "АЭРО ТЕРМЫ БРЯНСК"</w:t>
            </w:r>
            <w:r/>
          </w:p>
        </w:tc>
      </w:tr>
      <w:tr>
        <w:tblPrEx/>
        <w:trPr>
          <w:cantSplit/>
        </w:trPr>
        <w:tc>
          <w:tcPr>
            <w:shd w:val="clear" w:color="auto" w:fill="auto"/>
            <w:tcW w:w="3403" w:type="dxa"/>
            <w:vAlign w:val="bottom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6519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</w:trPr>
        <w:tc>
          <w:tcPr>
            <w:shd w:val="clear" w:color="auto" w:fill="auto"/>
            <w:tcW w:w="3403" w:type="dxa"/>
            <w:textDirection w:val="lrTb"/>
            <w:noWrap w:val="false"/>
          </w:tcPr>
          <w:p>
            <w:r>
              <w:rPr>
                <w:sz w:val="22"/>
              </w:rPr>
              <w:t xml:space="preserve">ИНН:</w:t>
            </w:r>
            <w:r/>
          </w:p>
        </w:tc>
        <w:tc>
          <w:tcPr>
            <w:shd w:val="clear" w:color="auto" w:fill="auto"/>
            <w:tcW w:w="6519" w:type="dxa"/>
            <w:vAlign w:val="bottom"/>
            <w:textDirection w:val="lrTb"/>
            <w:noWrap w:val="false"/>
          </w:tcPr>
          <w:p>
            <w:r>
              <w:rPr>
                <w:b/>
                <w:sz w:val="22"/>
              </w:rPr>
              <w:t xml:space="preserve">3200004801</w:t>
            </w:r>
            <w:r/>
          </w:p>
        </w:tc>
      </w:tr>
      <w:tr>
        <w:tblPrEx/>
        <w:trPr>
          <w:cantSplit/>
        </w:trPr>
        <w:tc>
          <w:tcPr>
            <w:shd w:val="clear" w:color="auto" w:fill="auto"/>
            <w:tcW w:w="3403" w:type="dxa"/>
            <w:textDirection w:val="lrTb"/>
            <w:noWrap w:val="false"/>
          </w:tcPr>
          <w:p>
            <w:r>
              <w:rPr>
                <w:sz w:val="22"/>
              </w:rPr>
              <w:t xml:space="preserve">КПП:</w:t>
            </w:r>
            <w:r/>
          </w:p>
        </w:tc>
        <w:tc>
          <w:tcPr>
            <w:shd w:val="clear" w:color="auto" w:fill="auto"/>
            <w:tcW w:w="6519" w:type="dxa"/>
            <w:vAlign w:val="bottom"/>
            <w:textDirection w:val="lrTb"/>
            <w:noWrap w:val="false"/>
          </w:tcPr>
          <w:p>
            <w:r>
              <w:rPr>
                <w:b/>
                <w:sz w:val="22"/>
              </w:rPr>
              <w:t xml:space="preserve">320001001</w:t>
            </w:r>
            <w:r/>
          </w:p>
        </w:tc>
      </w:tr>
      <w:tr>
        <w:tblPrEx/>
        <w:trPr>
          <w:cantSplit/>
        </w:trPr>
        <w:tc>
          <w:tcPr>
            <w:shd w:val="clear" w:color="auto" w:fill="auto"/>
            <w:tcW w:w="3403" w:type="dxa"/>
            <w:textDirection w:val="lrTb"/>
            <w:noWrap w:val="false"/>
          </w:tcPr>
          <w:p>
            <w:r>
              <w:rPr>
                <w:sz w:val="22"/>
              </w:rPr>
              <w:t xml:space="preserve">ОГРН:</w:t>
            </w:r>
            <w:r/>
          </w:p>
        </w:tc>
        <w:tc>
          <w:tcPr>
            <w:shd w:val="clear" w:color="auto" w:fill="auto"/>
            <w:tcW w:w="6519" w:type="dxa"/>
            <w:vAlign w:val="bottom"/>
            <w:textDirection w:val="lrTb"/>
            <w:noWrap w:val="false"/>
          </w:tcPr>
          <w:p>
            <w:r>
              <w:rPr>
                <w:b/>
                <w:sz w:val="22"/>
              </w:rPr>
              <w:t xml:space="preserve">1243200001065</w:t>
            </w:r>
            <w:r>
              <w:rPr>
                <w:b/>
                <w:sz w:val="22"/>
              </w:rPr>
              <w:t xml:space="preserve"> от 11.03.2024г.</w:t>
            </w:r>
            <w:r/>
          </w:p>
        </w:tc>
      </w:tr>
      <w:tr>
        <w:tblPrEx/>
        <w:trPr>
          <w:cantSplit/>
        </w:trPr>
        <w:tc>
          <w:tcPr>
            <w:shd w:val="clear" w:color="auto" w:fill="auto"/>
            <w:tcW w:w="3403" w:type="dxa"/>
            <w:textDirection w:val="lrTb"/>
            <w:noWrap w:val="false"/>
          </w:tcPr>
          <w:p>
            <w:r>
              <w:rPr>
                <w:sz w:val="22"/>
              </w:rPr>
              <w:t xml:space="preserve">ОКПО:</w:t>
            </w:r>
            <w:r/>
          </w:p>
        </w:tc>
        <w:tc>
          <w:tcPr>
            <w:shd w:val="clear" w:color="auto" w:fill="auto"/>
            <w:tcW w:w="6519" w:type="dxa"/>
            <w:vAlign w:val="bottom"/>
            <w:textDirection w:val="lrTb"/>
            <w:noWrap w:val="false"/>
          </w:tcPr>
          <w:p>
            <w:r>
              <w:rPr>
                <w:b/>
                <w:sz w:val="22"/>
              </w:rPr>
              <w:t xml:space="preserve">65799385</w:t>
            </w:r>
            <w:r/>
          </w:p>
        </w:tc>
      </w:tr>
      <w:tr>
        <w:tblPrEx/>
        <w:trPr>
          <w:cantSplit/>
        </w:trPr>
        <w:tc>
          <w:tcPr>
            <w:shd w:val="clear" w:color="auto" w:fill="auto"/>
            <w:tcW w:w="3403" w:type="dxa"/>
            <w:textDirection w:val="lrTb"/>
            <w:noWrap w:val="false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ОКТМО </w:t>
            </w:r>
            <w:r>
              <w:rPr>
                <w:sz w:val="22"/>
              </w:rPr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 xml:space="preserve">ОКВЭД</w:t>
            </w:r>
            <w:r>
              <w:rPr>
                <w:sz w:val="22"/>
              </w:rPr>
              <w:t xml:space="preserve">                                                      </w:t>
            </w:r>
            <w:r>
              <w:rPr>
                <w:sz w:val="22"/>
              </w:rPr>
            </w:r>
          </w:p>
        </w:tc>
        <w:tc>
          <w:tcPr>
            <w:shd w:val="clear" w:color="auto" w:fill="auto"/>
            <w:tcW w:w="6519" w:type="dxa"/>
            <w:vAlign w:val="bottom"/>
            <w:textDirection w:val="lrTb"/>
            <w:noWrap w:val="false"/>
          </w:tcPr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15701000</w:t>
            </w:r>
            <w:r>
              <w:rPr>
                <w:b/>
                <w:sz w:val="22"/>
              </w:rPr>
            </w:r>
          </w:p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96.04</w:t>
            </w:r>
            <w:r>
              <w:rPr>
                <w:b/>
                <w:sz w:val="22"/>
              </w:rPr>
            </w:r>
          </w:p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</w:tr>
      <w:tr>
        <w:tblPrEx/>
        <w:trPr>
          <w:cantSplit/>
        </w:trPr>
        <w:tc>
          <w:tcPr>
            <w:shd w:val="clear" w:color="auto" w:fill="auto"/>
            <w:tcW w:w="3403" w:type="dxa"/>
            <w:textDirection w:val="lrTb"/>
            <w:noWrap w:val="false"/>
          </w:tcPr>
          <w:p>
            <w:r>
              <w:rPr>
                <w:sz w:val="22"/>
              </w:rPr>
              <w:t xml:space="preserve">Расчетный счет:</w:t>
            </w:r>
            <w:r/>
          </w:p>
        </w:tc>
        <w:tc>
          <w:tcPr>
            <w:shd w:val="clear" w:color="auto" w:fill="auto"/>
            <w:tcW w:w="6519" w:type="dxa"/>
            <w:vAlign w:val="bottom"/>
            <w:textDirection w:val="lrTb"/>
            <w:noWrap w:val="false"/>
          </w:tcPr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40702810008000011081</w:t>
            </w:r>
            <w:r>
              <w:rPr>
                <w:b/>
                <w:sz w:val="22"/>
              </w:rPr>
            </w:r>
          </w:p>
          <w:p>
            <w:r/>
            <w:r/>
          </w:p>
        </w:tc>
      </w:tr>
      <w:tr>
        <w:tblPrEx/>
        <w:trPr>
          <w:cantSplit/>
        </w:trPr>
        <w:tc>
          <w:tcPr>
            <w:shd w:val="clear" w:color="auto" w:fill="auto"/>
            <w:tcW w:w="3403" w:type="dxa"/>
            <w:textDirection w:val="lrTb"/>
            <w:noWrap w:val="false"/>
          </w:tcPr>
          <w:p>
            <w:r>
              <w:rPr>
                <w:sz w:val="22"/>
              </w:rPr>
              <w:t xml:space="preserve">Банк:</w:t>
            </w:r>
            <w:r/>
          </w:p>
        </w:tc>
        <w:tc>
          <w:tcPr>
            <w:shd w:val="clear" w:color="auto" w:fill="auto"/>
            <w:tcW w:w="6519" w:type="dxa"/>
            <w:vAlign w:val="bottom"/>
            <w:textDirection w:val="lrTb"/>
            <w:noWrap w:val="false"/>
          </w:tcPr>
          <w:p>
            <w:pPr>
              <w:rPr>
                <w:rFonts w:asciiTheme="minorHAnsi" w:hAnsiTheme="minorHAnsi"/>
                <w:sz w:val="22"/>
              </w:rPr>
            </w:pPr>
            <w:r>
              <w:rPr>
                <w:b/>
                <w:sz w:val="22"/>
              </w:rPr>
              <w:t xml:space="preserve">Орловское отделение №8595 ПАО Сбербанк</w:t>
            </w:r>
            <w:r>
              <w:rPr>
                <w:rFonts w:asciiTheme="minorHAnsi" w:hAnsiTheme="minorHAnsi"/>
                <w:sz w:val="22"/>
              </w:rPr>
            </w:r>
          </w:p>
          <w:p>
            <w:r/>
            <w:r/>
          </w:p>
        </w:tc>
      </w:tr>
      <w:tr>
        <w:tblPrEx/>
        <w:trPr/>
        <w:tc>
          <w:tcPr>
            <w:tcW w:w="3403" w:type="dxa"/>
            <w:textDirection w:val="lrTb"/>
            <w:noWrap w:val="false"/>
          </w:tcPr>
          <w:p>
            <w:r>
              <w:rPr>
                <w:sz w:val="22"/>
              </w:rPr>
              <w:t xml:space="preserve">БИК:</w:t>
            </w:r>
            <w:r/>
          </w:p>
        </w:tc>
        <w:tc>
          <w:tcPr>
            <w:tcW w:w="6519" w:type="dxa"/>
            <w:textDirection w:val="lrTb"/>
            <w:noWrap w:val="false"/>
          </w:tcPr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045402601</w:t>
            </w:r>
            <w:r>
              <w:rPr>
                <w:b/>
                <w:sz w:val="22"/>
              </w:rPr>
            </w:r>
          </w:p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r/>
            <w:r/>
          </w:p>
        </w:tc>
      </w:tr>
      <w:tr>
        <w:tblPrEx/>
        <w:trPr/>
        <w:tc>
          <w:tcPr>
            <w:tcW w:w="3403" w:type="dxa"/>
            <w:textDirection w:val="lrTb"/>
            <w:noWrap w:val="false"/>
          </w:tcPr>
          <w:p>
            <w:r>
              <w:rPr>
                <w:sz w:val="22"/>
              </w:rPr>
              <w:t xml:space="preserve">Корр. счет:</w:t>
            </w:r>
            <w:r/>
          </w:p>
        </w:tc>
        <w:tc>
          <w:tcPr>
            <w:tcW w:w="6519" w:type="dxa"/>
            <w:textDirection w:val="lrTb"/>
            <w:noWrap w:val="false"/>
          </w:tcPr>
          <w:p>
            <w:r>
              <w:rPr>
                <w:b/>
                <w:sz w:val="22"/>
              </w:rPr>
              <w:t xml:space="preserve">30101810300000000601</w:t>
            </w:r>
            <w:r/>
          </w:p>
        </w:tc>
      </w:tr>
      <w:tr>
        <w:tblPrEx/>
        <w:trPr>
          <w:cantSplit/>
        </w:trPr>
        <w:tc>
          <w:tcPr>
            <w:shd w:val="clear" w:color="auto" w:fill="auto"/>
            <w:tcW w:w="340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6519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</w:trPr>
        <w:tc>
          <w:tcPr>
            <w:shd w:val="clear" w:color="auto" w:fill="auto"/>
            <w:tcW w:w="340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6519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</w:trPr>
        <w:tc>
          <w:tcPr>
            <w:shd w:val="clear" w:color="auto" w:fill="auto"/>
            <w:tcW w:w="3403" w:type="dxa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auto"/>
            <w:tcW w:w="6519" w:type="dxa"/>
            <w:vAlign w:val="bottom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</w:trPr>
        <w:tc>
          <w:tcPr>
            <w:shd w:val="clear" w:color="auto" w:fill="auto"/>
            <w:tcW w:w="3403" w:type="dxa"/>
            <w:textDirection w:val="lrTb"/>
            <w:noWrap w:val="false"/>
          </w:tcPr>
          <w:p>
            <w:pPr>
              <w:rPr>
                <w:sz w:val="22"/>
              </w:rPr>
            </w:pPr>
            <w:r>
              <w:rPr>
                <w:sz w:val="22"/>
              </w:rPr>
              <w:t xml:space="preserve">Юридический адрес:</w:t>
            </w:r>
            <w:r>
              <w:rPr>
                <w:sz w:val="22"/>
              </w:rPr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 xml:space="preserve">Оператор ЭДО</w:t>
            </w:r>
            <w:r>
              <w:rPr>
                <w:sz w:val="22"/>
              </w:rPr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 xml:space="preserve">ЭДО</w:t>
            </w:r>
            <w:r>
              <w:rPr>
                <w:b/>
                <w:i/>
                <w:sz w:val="22"/>
              </w:rPr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</w:r>
            <w:r>
              <w:rPr>
                <w:sz w:val="22"/>
              </w:rPr>
            </w:r>
          </w:p>
          <w:p>
            <w:pPr>
              <w:rPr>
                <w:sz w:val="22"/>
              </w:rPr>
            </w:pPr>
            <w:r>
              <w:rPr>
                <w:sz w:val="22"/>
              </w:rPr>
              <w:t xml:space="preserve">Телефон</w:t>
            </w:r>
            <w:r>
              <w:rPr>
                <w:sz w:val="22"/>
              </w:rPr>
            </w:r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rPr>
                <w:sz w:val="22"/>
                <w:lang w:val="en-US"/>
              </w:rPr>
              <w:t xml:space="preserve">e</w:t>
            </w:r>
            <w:r>
              <w:rPr>
                <w:sz w:val="22"/>
              </w:rPr>
              <w:t xml:space="preserve">-</w:t>
            </w:r>
            <w:r>
              <w:rPr>
                <w:sz w:val="22"/>
                <w:lang w:val="en-US"/>
              </w:rPr>
              <w:t xml:space="preserve">mail</w:t>
            </w:r>
            <w:r/>
          </w:p>
        </w:tc>
        <w:tc>
          <w:tcPr>
            <w:shd w:val="clear" w:color="auto" w:fill="auto"/>
            <w:tcW w:w="6519" w:type="dxa"/>
            <w:vAlign w:val="bottom"/>
            <w:textDirection w:val="lrTb"/>
            <w:noWrap w:val="false"/>
          </w:tcPr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241023, Брянская область, </w:t>
            </w:r>
            <w:r>
              <w:rPr>
                <w:b/>
                <w:sz w:val="22"/>
              </w:rPr>
              <w:t xml:space="preserve">г.о</w:t>
            </w:r>
            <w:r>
              <w:rPr>
                <w:b/>
                <w:sz w:val="22"/>
              </w:rPr>
              <w:t xml:space="preserve">. Город Брянск, г Брянск, </w:t>
            </w:r>
            <w:r>
              <w:rPr>
                <w:b/>
                <w:sz w:val="22"/>
              </w:rPr>
              <w:t xml:space="preserve">ул</w:t>
            </w:r>
            <w:r>
              <w:rPr>
                <w:b/>
                <w:sz w:val="22"/>
              </w:rPr>
              <w:t xml:space="preserve"> Объездная, </w:t>
            </w:r>
            <w:r>
              <w:rPr>
                <w:b/>
                <w:sz w:val="22"/>
              </w:rPr>
              <w:t xml:space="preserve">строение 34</w:t>
            </w:r>
            <w:r>
              <w:rPr>
                <w:b/>
                <w:sz w:val="22"/>
              </w:rPr>
            </w:r>
          </w:p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ООО «Компания «Тензор»</w:t>
            </w:r>
            <w:r>
              <w:rPr>
                <w:b/>
                <w:sz w:val="22"/>
              </w:rPr>
            </w:r>
          </w:p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rPr>
                <w:b/>
              </w:rPr>
            </w:pPr>
            <w:r>
              <w:rPr>
                <w:rFonts w:ascii="Segoe UI Emoji" w:hAnsi="Segoe UI Emoji"/>
                <w:b/>
                <w:color w:val="000000"/>
                <w:spacing w:val="-3"/>
                <w:sz w:val="23"/>
                <w:szCs w:val="23"/>
                <w:highlight w:val="yellow"/>
                <w:shd w:val="clear" w:color="auto" w:fill="ffffff"/>
              </w:rPr>
              <w:t xml:space="preserve">2BE86afade1d95a4cb78788e9dab72dfa5f</w:t>
            </w:r>
            <w:r>
              <w:rPr>
                <w:b/>
              </w:rPr>
            </w:r>
          </w:p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8/4832/606-777</w:t>
            </w:r>
            <w:r>
              <w:rPr>
                <w:b/>
                <w:sz w:val="22"/>
              </w:rPr>
            </w:r>
          </w:p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pPr>
              <w:rPr>
                <w:b/>
                <w:sz w:val="22"/>
              </w:rPr>
            </w:pPr>
            <w:r>
              <w:rPr>
                <w:b/>
                <w:sz w:val="22"/>
                <w:lang w:val="en-US"/>
              </w:rPr>
              <w:t xml:space="preserve">ira</w:t>
            </w:r>
            <w:r>
              <w:rPr>
                <w:b/>
                <w:sz w:val="22"/>
              </w:rPr>
              <w:t xml:space="preserve">@</w:t>
            </w:r>
            <w:r>
              <w:rPr>
                <w:b/>
                <w:sz w:val="22"/>
                <w:lang w:val="en-US"/>
              </w:rPr>
              <w:t xml:space="preserve">bboffice</w:t>
            </w:r>
            <w:r>
              <w:rPr>
                <w:b/>
                <w:sz w:val="22"/>
              </w:rPr>
              <w:t xml:space="preserve">.</w:t>
            </w:r>
            <w:r>
              <w:rPr>
                <w:b/>
                <w:sz w:val="22"/>
                <w:lang w:val="en-US"/>
              </w:rPr>
              <w:t xml:space="preserve">ru</w:t>
            </w:r>
            <w:r>
              <w:rPr>
                <w:b/>
                <w:sz w:val="22"/>
              </w:rPr>
            </w:r>
          </w:p>
          <w:p>
            <w:pPr>
              <w:rPr>
                <w:b/>
                <w:sz w:val="22"/>
              </w:rPr>
            </w:pP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  <w:p>
            <w:r/>
            <w:r/>
          </w:p>
        </w:tc>
      </w:tr>
      <w:tr>
        <w:tblPrEx/>
        <w:trPr>
          <w:cantSplit/>
        </w:trPr>
        <w:tc>
          <w:tcPr>
            <w:shd w:val="clear" w:color="auto" w:fill="auto"/>
            <w:tcW w:w="3403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</w:tc>
        <w:tc>
          <w:tcPr>
            <w:shd w:val="clear" w:color="auto" w:fill="auto"/>
            <w:tcW w:w="6519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Общая система налогообложения</w:t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</w:tr>
      <w:tr>
        <w:tblPrEx/>
        <w:trPr>
          <w:cantSplit/>
        </w:trPr>
        <w:tc>
          <w:tcPr>
            <w:shd w:val="clear" w:color="auto" w:fill="auto"/>
            <w:tcW w:w="3403" w:type="dxa"/>
            <w:textDirection w:val="lrTb"/>
            <w:noWrap w:val="false"/>
          </w:tcPr>
          <w:p>
            <w:r>
              <w:rPr>
                <w:sz w:val="22"/>
              </w:rPr>
              <w:t xml:space="preserve">Директор:</w:t>
            </w:r>
            <w:r/>
          </w:p>
        </w:tc>
        <w:tc>
          <w:tcPr>
            <w:shd w:val="clear" w:color="auto" w:fill="auto"/>
            <w:tcW w:w="6519" w:type="dxa"/>
            <w:vAlign w:val="bottom"/>
            <w:textDirection w:val="lrTb"/>
            <w:noWrap w:val="false"/>
          </w:tcPr>
          <w:p>
            <w:r>
              <w:rPr>
                <w:sz w:val="22"/>
              </w:rPr>
              <w:t xml:space="preserve">Елена Владимировна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Селемянкина</w:t>
            </w:r>
            <w:r/>
          </w:p>
        </w:tc>
      </w:tr>
    </w:tbl>
    <w:p>
      <w:r/>
      <w:r/>
    </w:p>
    <w:sectPr>
      <w:footnotePr/>
      <w:endnotePr/>
      <w:type w:val="nextPage"/>
      <w:pgSz w:w="11907" w:h="16839" w:orient="portrait"/>
      <w:pgMar w:top="1134" w:right="1134" w:bottom="1134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Segoe UI Emoji">
    <w:panose1 w:val="020B08090304030202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table" w:styleId="622" w:customStyle="1">
    <w:name w:val="TableStyle0"/>
    <w:pPr>
      <w:spacing w:after="0" w:line="240" w:lineRule="auto"/>
    </w:pPr>
    <w:rPr>
      <w:rFonts w:ascii="Arial" w:hAnsi="Arial"/>
      <w:sz w:val="16"/>
    </w:rPr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23">
    <w:name w:val="Balloon Text"/>
    <w:basedOn w:val="618"/>
    <w:link w:val="62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24" w:customStyle="1">
    <w:name w:val="Текст выноски Знак"/>
    <w:basedOn w:val="619"/>
    <w:link w:val="623"/>
    <w:uiPriority w:val="99"/>
    <w:semiHidden/>
    <w:rPr>
      <w:rFonts w:ascii="Segoe UI" w:hAnsi="Segoe UI" w:cs="Segoe UI"/>
      <w:sz w:val="18"/>
      <w:szCs w:val="18"/>
    </w:rPr>
  </w:style>
  <w:style w:type="character" w:styleId="625">
    <w:name w:val="Hyperlink"/>
    <w:basedOn w:val="619"/>
    <w:uiPriority w:val="99"/>
    <w:unhideWhenUsed/>
    <w:rPr>
      <w:color w:val="0563c1" w:themeColor="hyperlink"/>
      <w:u w:val="single"/>
    </w:rPr>
  </w:style>
  <w:style w:type="character" w:styleId="626">
    <w:name w:val="Unresolved Mention"/>
    <w:basedOn w:val="619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Виталий Расин</cp:lastModifiedBy>
  <cp:revision>13</cp:revision>
  <dcterms:created xsi:type="dcterms:W3CDTF">2024-09-13T09:49:00Z</dcterms:created>
  <dcterms:modified xsi:type="dcterms:W3CDTF">2026-08-12T07:45:52Z</dcterms:modified>
</cp:coreProperties>
</file>